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A" w:rsidRDefault="00D0227A">
      <w:pPr>
        <w:spacing w:line="238" w:lineRule="exact"/>
        <w:rPr>
          <w:sz w:val="24"/>
          <w:szCs w:val="24"/>
        </w:rPr>
      </w:pPr>
    </w:p>
    <w:p w:rsidR="00846BF4" w:rsidRDefault="009A3C48">
      <w:pPr>
        <w:spacing w:line="271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846BF4" w:rsidRDefault="00846BF4">
      <w:pPr>
        <w:spacing w:line="271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СРЕДНЕЙ ГРУППЫ</w:t>
      </w:r>
    </w:p>
    <w:p w:rsidR="00846BF4" w:rsidRDefault="009A3C48">
      <w:pPr>
        <w:spacing w:line="271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на 2017-2018 учебный год </w:t>
      </w:r>
    </w:p>
    <w:p w:rsidR="00D0227A" w:rsidRDefault="00D0227A">
      <w:pPr>
        <w:spacing w:line="378" w:lineRule="exact"/>
        <w:rPr>
          <w:sz w:val="24"/>
          <w:szCs w:val="24"/>
        </w:rPr>
      </w:pPr>
    </w:p>
    <w:p w:rsidR="00D0227A" w:rsidRDefault="00D0227A">
      <w:pPr>
        <w:spacing w:line="228" w:lineRule="exact"/>
        <w:rPr>
          <w:sz w:val="24"/>
          <w:szCs w:val="24"/>
        </w:rPr>
      </w:pPr>
    </w:p>
    <w:p w:rsidR="00D0227A" w:rsidRDefault="009A3C48">
      <w:pPr>
        <w:spacing w:line="273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</w:t>
      </w:r>
      <w:r>
        <w:rPr>
          <w:rFonts w:eastAsia="Times New Roman"/>
          <w:sz w:val="28"/>
          <w:szCs w:val="28"/>
        </w:rPr>
        <w:t>разработана в соответствии с образовательной программой дошко</w:t>
      </w:r>
      <w:r w:rsidR="00846BF4">
        <w:rPr>
          <w:rFonts w:eastAsia="Times New Roman"/>
          <w:sz w:val="28"/>
          <w:szCs w:val="28"/>
        </w:rPr>
        <w:t>льного образования МКОУ «ООШ № 29</w:t>
      </w:r>
      <w:r>
        <w:rPr>
          <w:rFonts w:eastAsia="Times New Roman"/>
          <w:sz w:val="28"/>
          <w:szCs w:val="28"/>
        </w:rPr>
        <w:t>»,</w:t>
      </w:r>
      <w:r w:rsidR="00846BF4" w:rsidRPr="00846BF4">
        <w:t xml:space="preserve"> </w:t>
      </w:r>
      <w:r w:rsidR="00846BF4" w:rsidRPr="00846BF4">
        <w:rPr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 В СООТВЕТСТВИИ ФГОС». / Под ред. Н. Е. Вераксы, Т. С. Комаровой, М. А. Вас</w:t>
      </w:r>
      <w:r w:rsidR="00846BF4">
        <w:rPr>
          <w:sz w:val="28"/>
          <w:szCs w:val="28"/>
        </w:rPr>
        <w:t xml:space="preserve">ильевой, </w:t>
      </w:r>
      <w:bookmarkStart w:id="0" w:name="_GoBack"/>
      <w:bookmarkEnd w:id="0"/>
      <w:r>
        <w:rPr>
          <w:rFonts w:eastAsia="Times New Roman"/>
          <w:sz w:val="28"/>
          <w:szCs w:val="28"/>
        </w:rPr>
        <w:t>а также в соответствии с введённым в действие Федеральным государственным образовательным стандартом дошкольного образования (Приказ Министерства обра</w:t>
      </w:r>
      <w:r>
        <w:rPr>
          <w:rFonts w:eastAsia="Times New Roman"/>
          <w:sz w:val="28"/>
          <w:szCs w:val="28"/>
        </w:rPr>
        <w:t>зования и науки Российской Федерации «Об утверждении ФГОС дошкольного образования № 1155 от 17 октября 2013 года).</w:t>
      </w:r>
    </w:p>
    <w:p w:rsidR="00D0227A" w:rsidRDefault="00D0227A">
      <w:pPr>
        <w:spacing w:line="26" w:lineRule="exact"/>
        <w:rPr>
          <w:sz w:val="24"/>
          <w:szCs w:val="24"/>
        </w:rPr>
      </w:pPr>
    </w:p>
    <w:p w:rsidR="00D0227A" w:rsidRDefault="009A3C48">
      <w:pPr>
        <w:spacing w:line="27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в </w:t>
      </w:r>
      <w:r w:rsidR="00846BF4">
        <w:rPr>
          <w:rFonts w:eastAsia="Times New Roman"/>
          <w:sz w:val="28"/>
          <w:szCs w:val="28"/>
        </w:rPr>
        <w:t>средней группе группы кратковременного пребывания детей МКОУ «ООШ № 29»</w:t>
      </w:r>
      <w:r>
        <w:rPr>
          <w:rFonts w:eastAsia="Times New Roman"/>
          <w:sz w:val="28"/>
          <w:szCs w:val="28"/>
        </w:rPr>
        <w:t>, обеспечивает разв</w:t>
      </w:r>
      <w:r>
        <w:rPr>
          <w:rFonts w:eastAsia="Times New Roman"/>
          <w:sz w:val="28"/>
          <w:szCs w:val="28"/>
        </w:rPr>
        <w:t xml:space="preserve">итие личности, мотивации и способностей детей от </w:t>
      </w:r>
      <w:r w:rsidR="00846BF4">
        <w:rPr>
          <w:rFonts w:eastAsia="Times New Roman"/>
          <w:sz w:val="28"/>
          <w:szCs w:val="28"/>
        </w:rPr>
        <w:t>4 до 5</w:t>
      </w:r>
      <w:r>
        <w:rPr>
          <w:rFonts w:eastAsia="Times New Roman"/>
          <w:sz w:val="28"/>
          <w:szCs w:val="28"/>
        </w:rPr>
        <w:t xml:space="preserve"> лет в различных видах деятельности. Оно включает совокупность образовательных областей</w:t>
      </w:r>
      <w:r w:rsidR="00846B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(социально-коммуникативное развитие, познавательное развитие, речевое развитие, художественно-эстетическое разви</w:t>
      </w:r>
      <w:r>
        <w:rPr>
          <w:rFonts w:eastAsia="Times New Roman"/>
          <w:sz w:val="28"/>
          <w:szCs w:val="28"/>
        </w:rPr>
        <w:t>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</w:t>
      </w:r>
    </w:p>
    <w:p w:rsidR="00D0227A" w:rsidRDefault="00D0227A">
      <w:pPr>
        <w:spacing w:line="22" w:lineRule="exact"/>
        <w:rPr>
          <w:sz w:val="24"/>
          <w:szCs w:val="24"/>
        </w:rPr>
      </w:pPr>
    </w:p>
    <w:p w:rsidR="00D0227A" w:rsidRDefault="009A3C48">
      <w:pPr>
        <w:spacing w:line="26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Составляющими компонентами рабочей программы являются её разделы, отражающие реализацию ФГОС ДО в соотве</w:t>
      </w:r>
      <w:r>
        <w:rPr>
          <w:rFonts w:eastAsia="Times New Roman"/>
          <w:sz w:val="28"/>
          <w:szCs w:val="28"/>
        </w:rPr>
        <w:t>тствии с направлениями развития ребёнка:</w:t>
      </w:r>
    </w:p>
    <w:p w:rsidR="00D0227A" w:rsidRDefault="00D0227A">
      <w:pPr>
        <w:spacing w:line="6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Социально-коммуникативное развитие;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Познавательное развитие;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Речевое развитие;</w:t>
      </w:r>
    </w:p>
    <w:p w:rsidR="00D0227A" w:rsidRDefault="00D0227A">
      <w:pPr>
        <w:spacing w:line="24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Художественно-эстетическое развитие;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Физическое развитие.</w:t>
      </w:r>
    </w:p>
    <w:p w:rsidR="00D0227A" w:rsidRDefault="00D0227A">
      <w:pPr>
        <w:spacing w:line="39" w:lineRule="exact"/>
        <w:rPr>
          <w:sz w:val="24"/>
          <w:szCs w:val="24"/>
        </w:rPr>
      </w:pPr>
    </w:p>
    <w:p w:rsidR="00D0227A" w:rsidRDefault="009A3C4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включает три раздела:</w:t>
      </w:r>
    </w:p>
    <w:p w:rsidR="00D0227A" w:rsidRDefault="00D0227A">
      <w:pPr>
        <w:spacing w:line="34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 xml:space="preserve">Целевой </w:t>
      </w:r>
      <w:r>
        <w:rPr>
          <w:rFonts w:eastAsia="Times New Roman"/>
          <w:sz w:val="28"/>
          <w:szCs w:val="28"/>
        </w:rPr>
        <w:t>раздел;</w:t>
      </w:r>
    </w:p>
    <w:p w:rsidR="00D0227A" w:rsidRDefault="00D0227A">
      <w:pPr>
        <w:spacing w:line="20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Содержательный раздел;</w:t>
      </w:r>
    </w:p>
    <w:p w:rsidR="00D0227A" w:rsidRDefault="00D0227A">
      <w:pPr>
        <w:spacing w:line="24" w:lineRule="exact"/>
        <w:rPr>
          <w:sz w:val="24"/>
          <w:szCs w:val="24"/>
        </w:rPr>
      </w:pPr>
    </w:p>
    <w:p w:rsidR="00D0227A" w:rsidRDefault="009A3C48">
      <w:pPr>
        <w:ind w:left="1060"/>
        <w:rPr>
          <w:sz w:val="24"/>
          <w:szCs w:val="24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Организационный раздел.</w:t>
      </w:r>
    </w:p>
    <w:p w:rsidR="00D0227A" w:rsidRDefault="00D0227A">
      <w:pPr>
        <w:spacing w:line="45" w:lineRule="exact"/>
        <w:rPr>
          <w:sz w:val="24"/>
          <w:szCs w:val="24"/>
        </w:rPr>
      </w:pPr>
    </w:p>
    <w:p w:rsidR="00D0227A" w:rsidRDefault="009A3C48">
      <w:pPr>
        <w:spacing w:line="274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Целевой раздел </w:t>
      </w:r>
      <w:r>
        <w:rPr>
          <w:rFonts w:eastAsia="Times New Roman"/>
          <w:sz w:val="28"/>
          <w:szCs w:val="28"/>
        </w:rPr>
        <w:t xml:space="preserve">содержит пояснительную записку рабочей программы </w:t>
      </w:r>
      <w:r w:rsidR="00846BF4">
        <w:rPr>
          <w:rFonts w:eastAsia="Times New Roman"/>
          <w:sz w:val="28"/>
          <w:szCs w:val="28"/>
        </w:rPr>
        <w:t>средней группы</w:t>
      </w:r>
      <w:r>
        <w:rPr>
          <w:rFonts w:eastAsia="Times New Roman"/>
          <w:sz w:val="28"/>
          <w:szCs w:val="28"/>
        </w:rPr>
        <w:t xml:space="preserve"> и выделены основные целевые ориентиры образовательного процесса. В пояснительную записку включены цель и зад</w:t>
      </w:r>
      <w:r>
        <w:rPr>
          <w:rFonts w:eastAsia="Times New Roman"/>
          <w:sz w:val="28"/>
          <w:szCs w:val="28"/>
        </w:rPr>
        <w:t>ачи Рабочей программы. Кроме того, Рабочая программа включает в себя возрастные и индивидуальные особенно</w:t>
      </w:r>
      <w:r w:rsidR="00846BF4">
        <w:rPr>
          <w:rFonts w:eastAsia="Times New Roman"/>
          <w:sz w:val="28"/>
          <w:szCs w:val="28"/>
        </w:rPr>
        <w:t>сти контингента детей средней группы</w:t>
      </w:r>
      <w:r>
        <w:rPr>
          <w:rFonts w:eastAsia="Times New Roman"/>
          <w:sz w:val="28"/>
          <w:szCs w:val="28"/>
        </w:rPr>
        <w:t>, описание социокультурных особенностей осуществления образовательной деятельности.</w:t>
      </w:r>
    </w:p>
    <w:p w:rsidR="00D0227A" w:rsidRDefault="00D0227A">
      <w:pPr>
        <w:sectPr w:rsidR="00D0227A">
          <w:pgSz w:w="11900" w:h="16838"/>
          <w:pgMar w:top="712" w:right="724" w:bottom="213" w:left="720" w:header="0" w:footer="0" w:gutter="0"/>
          <w:cols w:space="720" w:equalWidth="0">
            <w:col w:w="10460"/>
          </w:cols>
        </w:sectPr>
      </w:pPr>
    </w:p>
    <w:p w:rsidR="00D0227A" w:rsidRDefault="009A3C48">
      <w:pPr>
        <w:spacing w:line="26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Прин</w:t>
      </w:r>
      <w:r>
        <w:rPr>
          <w:rFonts w:eastAsia="Times New Roman"/>
          <w:sz w:val="28"/>
          <w:szCs w:val="28"/>
        </w:rPr>
        <w:t>ципы и подходы в организации образовательного процесса отражают требования ФГОС ДО, обеспечивают единство задач образовательного процесса, интеграцию образовательных областей.</w:t>
      </w:r>
    </w:p>
    <w:p w:rsidR="00D0227A" w:rsidRDefault="00D0227A">
      <w:pPr>
        <w:spacing w:line="26" w:lineRule="exact"/>
        <w:rPr>
          <w:sz w:val="20"/>
          <w:szCs w:val="20"/>
        </w:rPr>
      </w:pPr>
    </w:p>
    <w:p w:rsidR="00D0227A" w:rsidRDefault="009A3C48">
      <w:pPr>
        <w:spacing w:line="272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Планируемые результаты Рабочей программы конкретизируют целевые ориентиры </w:t>
      </w:r>
      <w:r>
        <w:rPr>
          <w:rFonts w:eastAsia="Times New Roman"/>
          <w:sz w:val="28"/>
          <w:szCs w:val="28"/>
        </w:rPr>
        <w:t xml:space="preserve">образовательного стандарта дошкольного образования. Целевые ориентиры образования детей </w:t>
      </w:r>
      <w:r w:rsidR="00846BF4">
        <w:rPr>
          <w:rFonts w:eastAsia="Times New Roman"/>
          <w:sz w:val="28"/>
          <w:szCs w:val="28"/>
        </w:rPr>
        <w:t xml:space="preserve">средней группы </w:t>
      </w:r>
      <w:r>
        <w:rPr>
          <w:rFonts w:eastAsia="Times New Roman"/>
          <w:sz w:val="28"/>
          <w:szCs w:val="28"/>
        </w:rPr>
        <w:t xml:space="preserve">соответствуют требованиям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.</w:t>
      </w:r>
    </w:p>
    <w:p w:rsidR="00D0227A" w:rsidRDefault="00D0227A">
      <w:pPr>
        <w:spacing w:line="24" w:lineRule="exact"/>
        <w:rPr>
          <w:sz w:val="20"/>
          <w:szCs w:val="20"/>
        </w:rPr>
      </w:pPr>
    </w:p>
    <w:p w:rsidR="00D0227A" w:rsidRDefault="009A3C48">
      <w:pPr>
        <w:numPr>
          <w:ilvl w:val="1"/>
          <w:numId w:val="3"/>
        </w:numPr>
        <w:tabs>
          <w:tab w:val="left" w:pos="1195"/>
        </w:tabs>
        <w:spacing w:line="263" w:lineRule="auto"/>
        <w:ind w:firstLine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содержательном разделе </w:t>
      </w:r>
      <w:r>
        <w:rPr>
          <w:rFonts w:eastAsia="Times New Roman"/>
          <w:sz w:val="28"/>
          <w:szCs w:val="28"/>
        </w:rPr>
        <w:t>представлено общее содержание рабочей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программы.</w:t>
      </w:r>
    </w:p>
    <w:p w:rsidR="00D0227A" w:rsidRDefault="00D0227A">
      <w:pPr>
        <w:spacing w:line="33" w:lineRule="exact"/>
        <w:rPr>
          <w:rFonts w:eastAsia="Times New Roman"/>
          <w:b/>
          <w:bCs/>
          <w:sz w:val="28"/>
          <w:szCs w:val="28"/>
        </w:rPr>
      </w:pPr>
    </w:p>
    <w:p w:rsidR="00D0227A" w:rsidRDefault="009A3C48">
      <w:pPr>
        <w:spacing w:line="273" w:lineRule="auto"/>
        <w:ind w:firstLine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Рабочей программы определяет</w:t>
      </w:r>
      <w:r>
        <w:rPr>
          <w:rFonts w:eastAsia="Times New Roman"/>
          <w:sz w:val="28"/>
          <w:szCs w:val="28"/>
        </w:rPr>
        <w:t xml:space="preserve">ся в соответствии с направлениями развития ребёнка, соответствует основным положениям возрастной психологии и дошкольной педагогики. Оно ориентировано на разностороннее развитие детей с учётом их возрастных, а также индивидуальных особенностей по основным </w:t>
      </w:r>
      <w:r>
        <w:rPr>
          <w:rFonts w:eastAsia="Times New Roman"/>
          <w:sz w:val="28"/>
          <w:szCs w:val="28"/>
        </w:rPr>
        <w:t>направлениям развития и образования детей.</w:t>
      </w:r>
    </w:p>
    <w:p w:rsidR="00D0227A" w:rsidRDefault="00D0227A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D0227A" w:rsidRDefault="009A3C48">
      <w:pPr>
        <w:spacing w:line="271" w:lineRule="auto"/>
        <w:ind w:firstLine="70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основано на комплексно-тематическом принципе построения образовательного процесса и интеграции образовательных областей, с учётом образовательных задач, временного отрезка года, возраста детей, текущих</w:t>
      </w:r>
      <w:r>
        <w:rPr>
          <w:rFonts w:eastAsia="Times New Roman"/>
          <w:sz w:val="28"/>
          <w:szCs w:val="28"/>
        </w:rPr>
        <w:t xml:space="preserve"> праздников, особенностей воспитательно-образовательного процесса ДОУ.</w:t>
      </w:r>
    </w:p>
    <w:p w:rsidR="00D0227A" w:rsidRDefault="00D0227A">
      <w:pPr>
        <w:spacing w:line="29" w:lineRule="exact"/>
        <w:rPr>
          <w:rFonts w:eastAsia="Times New Roman"/>
          <w:b/>
          <w:bCs/>
          <w:sz w:val="28"/>
          <w:szCs w:val="28"/>
        </w:rPr>
      </w:pPr>
    </w:p>
    <w:p w:rsidR="00D0227A" w:rsidRDefault="009A3C48">
      <w:pPr>
        <w:numPr>
          <w:ilvl w:val="1"/>
          <w:numId w:val="3"/>
        </w:numPr>
        <w:tabs>
          <w:tab w:val="left" w:pos="1061"/>
        </w:tabs>
        <w:spacing w:line="273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содержательной части Рабочей программы представлены формы, методы работы с детьми по реализации поставленных задач через совместную деятельность взрослых и детей, через самостоятельную</w:t>
      </w:r>
      <w:r>
        <w:rPr>
          <w:rFonts w:eastAsia="Times New Roman"/>
          <w:sz w:val="28"/>
          <w:szCs w:val="28"/>
        </w:rPr>
        <w:t xml:space="preserve"> деятельность детей не только в рамках образовательной деятельности, но и при проведении режимных моментов, культурные практики, способы поддержки детской инициативы, через взаимодействие с семьями воспитанников.</w:t>
      </w:r>
    </w:p>
    <w:p w:rsidR="00D0227A" w:rsidRDefault="00D0227A">
      <w:pPr>
        <w:spacing w:line="20" w:lineRule="exact"/>
        <w:rPr>
          <w:rFonts w:eastAsia="Times New Roman"/>
          <w:sz w:val="28"/>
          <w:szCs w:val="28"/>
        </w:rPr>
      </w:pPr>
    </w:p>
    <w:p w:rsidR="00D0227A" w:rsidRDefault="009A3C48">
      <w:pPr>
        <w:spacing w:line="271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Организационный раздел </w:t>
      </w:r>
      <w:r>
        <w:rPr>
          <w:rFonts w:eastAsia="Times New Roman"/>
          <w:sz w:val="28"/>
          <w:szCs w:val="28"/>
        </w:rPr>
        <w:t>включает режимы</w:t>
      </w:r>
      <w:r>
        <w:rPr>
          <w:rFonts w:eastAsia="Times New Roman"/>
          <w:sz w:val="28"/>
          <w:szCs w:val="28"/>
        </w:rPr>
        <w:t xml:space="preserve"> дня</w:t>
      </w:r>
      <w:r>
        <w:rPr>
          <w:rFonts w:eastAsia="Times New Roman"/>
          <w:sz w:val="28"/>
          <w:szCs w:val="28"/>
        </w:rPr>
        <w:t>, утверждённые</w:t>
      </w:r>
      <w:r>
        <w:rPr>
          <w:rFonts w:eastAsia="Times New Roman"/>
          <w:sz w:val="28"/>
          <w:szCs w:val="28"/>
        </w:rPr>
        <w:t xml:space="preserve"> Приказом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46BF4">
        <w:rPr>
          <w:rFonts w:eastAsia="Times New Roman"/>
          <w:sz w:val="28"/>
          <w:szCs w:val="28"/>
        </w:rPr>
        <w:t>директора.</w:t>
      </w:r>
      <w:r>
        <w:rPr>
          <w:rFonts w:eastAsia="Times New Roman"/>
          <w:sz w:val="28"/>
          <w:szCs w:val="28"/>
        </w:rPr>
        <w:t xml:space="preserve"> Режимы</w:t>
      </w:r>
      <w:r>
        <w:rPr>
          <w:rFonts w:eastAsia="Times New Roman"/>
          <w:sz w:val="28"/>
          <w:szCs w:val="28"/>
        </w:rPr>
        <w:t xml:space="preserve"> дня разработаны</w:t>
      </w:r>
      <w:r>
        <w:rPr>
          <w:rFonts w:eastAsia="Times New Roman"/>
          <w:sz w:val="28"/>
          <w:szCs w:val="28"/>
        </w:rPr>
        <w:t xml:space="preserve"> в соответствии с возрастными особенностями детей, климатическими условиями: на холодный, тёплый период года.</w:t>
      </w:r>
    </w:p>
    <w:p w:rsidR="00D0227A" w:rsidRDefault="00D0227A">
      <w:pPr>
        <w:spacing w:line="7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составлен с учётом:</w:t>
      </w:r>
    </w:p>
    <w:p w:rsidR="00D0227A" w:rsidRDefault="00D0227A">
      <w:pPr>
        <w:spacing w:line="82" w:lineRule="exact"/>
        <w:rPr>
          <w:rFonts w:eastAsia="Times New Roman"/>
          <w:sz w:val="28"/>
          <w:szCs w:val="28"/>
        </w:rPr>
      </w:pPr>
    </w:p>
    <w:p w:rsidR="00D0227A" w:rsidRDefault="009A3C48">
      <w:pPr>
        <w:spacing w:line="236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Санитарно-эпидемиологические требования к устройст</w:t>
      </w:r>
      <w:r>
        <w:rPr>
          <w:rFonts w:eastAsia="Times New Roman"/>
          <w:sz w:val="28"/>
          <w:szCs w:val="28"/>
        </w:rPr>
        <w:t>ву, содержанию и</w:t>
      </w:r>
      <w:r>
        <w:rPr>
          <w:rFonts w:ascii="Sylfaen" w:eastAsia="Sylfaen" w:hAnsi="Sylfaen" w:cs="Sylfae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режима работы ДОУ. Санитарно-эпидемиологические правила и нормативы СанПиН;</w:t>
      </w:r>
    </w:p>
    <w:p w:rsidR="00D0227A" w:rsidRDefault="00D0227A">
      <w:pPr>
        <w:spacing w:line="46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Особенностей образовательной программы;</w:t>
      </w:r>
    </w:p>
    <w:p w:rsidR="00D0227A" w:rsidRDefault="00D0227A">
      <w:pPr>
        <w:spacing w:line="20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Материально-технических условий ДОУ;</w:t>
      </w:r>
    </w:p>
    <w:p w:rsidR="00D0227A" w:rsidRDefault="00D0227A">
      <w:pPr>
        <w:spacing w:line="20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360"/>
        <w:rPr>
          <w:rFonts w:eastAsia="Times New Roma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–  </w:t>
      </w:r>
      <w:r>
        <w:rPr>
          <w:rFonts w:eastAsia="Times New Roman"/>
          <w:sz w:val="28"/>
          <w:szCs w:val="28"/>
        </w:rPr>
        <w:t>Особенностей воспитательно-образовательного процесса в ДОУ.</w:t>
      </w:r>
    </w:p>
    <w:p w:rsidR="00D0227A" w:rsidRDefault="00D0227A">
      <w:pPr>
        <w:spacing w:line="34" w:lineRule="exact"/>
        <w:rPr>
          <w:rFonts w:eastAsia="Times New Roman"/>
          <w:sz w:val="28"/>
          <w:szCs w:val="28"/>
        </w:rPr>
      </w:pPr>
    </w:p>
    <w:p w:rsidR="00D0227A" w:rsidRDefault="009A3C48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  разделы  дополняют  содержание  основной  образовательной  программы</w:t>
      </w:r>
    </w:p>
    <w:p w:rsidR="00D0227A" w:rsidRDefault="00D0227A">
      <w:pPr>
        <w:spacing w:line="48" w:lineRule="exact"/>
        <w:rPr>
          <w:sz w:val="20"/>
          <w:szCs w:val="20"/>
        </w:rPr>
      </w:pPr>
    </w:p>
    <w:p w:rsidR="00D0227A" w:rsidRDefault="009A3C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 образования.</w:t>
      </w:r>
    </w:p>
    <w:p w:rsidR="00D0227A" w:rsidRDefault="00D0227A">
      <w:pPr>
        <w:spacing w:line="64" w:lineRule="exact"/>
        <w:rPr>
          <w:sz w:val="20"/>
          <w:szCs w:val="20"/>
        </w:rPr>
      </w:pPr>
    </w:p>
    <w:p w:rsidR="00D0227A" w:rsidRDefault="009A3C48">
      <w:pPr>
        <w:spacing w:line="263" w:lineRule="auto"/>
        <w:ind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методических пособий включает в себя все методические пособия и литературу, которые рекоме</w:t>
      </w:r>
      <w:r w:rsidR="00846BF4">
        <w:rPr>
          <w:rFonts w:eastAsia="Times New Roman"/>
          <w:sz w:val="28"/>
          <w:szCs w:val="28"/>
        </w:rPr>
        <w:t>ндует образовательная программа.</w:t>
      </w:r>
    </w:p>
    <w:p w:rsidR="00D0227A" w:rsidRDefault="00D0227A">
      <w:pPr>
        <w:sectPr w:rsidR="00D0227A">
          <w:pgSz w:w="11900" w:h="16838"/>
          <w:pgMar w:top="728" w:right="724" w:bottom="1440" w:left="720" w:header="0" w:footer="0" w:gutter="0"/>
          <w:cols w:space="720" w:equalWidth="0">
            <w:col w:w="10460"/>
          </w:cols>
        </w:sectPr>
      </w:pPr>
    </w:p>
    <w:p w:rsidR="009A3C48" w:rsidRDefault="009A3C48"/>
    <w:sectPr w:rsidR="009A3C48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AF063AA"/>
    <w:lvl w:ilvl="0" w:tplc="C504E2FC">
      <w:start w:val="1"/>
      <w:numFmt w:val="bullet"/>
      <w:lvlText w:val="\endash "/>
      <w:lvlJc w:val="left"/>
    </w:lvl>
    <w:lvl w:ilvl="1" w:tplc="5D6ED7FA">
      <w:start w:val="1"/>
      <w:numFmt w:val="bullet"/>
      <w:lvlText w:val="В"/>
      <w:lvlJc w:val="left"/>
    </w:lvl>
    <w:lvl w:ilvl="2" w:tplc="4280B274">
      <w:numFmt w:val="decimal"/>
      <w:lvlText w:val=""/>
      <w:lvlJc w:val="left"/>
    </w:lvl>
    <w:lvl w:ilvl="3" w:tplc="8DDA57FE">
      <w:numFmt w:val="decimal"/>
      <w:lvlText w:val=""/>
      <w:lvlJc w:val="left"/>
    </w:lvl>
    <w:lvl w:ilvl="4" w:tplc="14905D26">
      <w:numFmt w:val="decimal"/>
      <w:lvlText w:val=""/>
      <w:lvlJc w:val="left"/>
    </w:lvl>
    <w:lvl w:ilvl="5" w:tplc="D6E6EC54">
      <w:numFmt w:val="decimal"/>
      <w:lvlText w:val=""/>
      <w:lvlJc w:val="left"/>
    </w:lvl>
    <w:lvl w:ilvl="6" w:tplc="EE7EFB74">
      <w:numFmt w:val="decimal"/>
      <w:lvlText w:val=""/>
      <w:lvlJc w:val="left"/>
    </w:lvl>
    <w:lvl w:ilvl="7" w:tplc="5A781C88">
      <w:numFmt w:val="decimal"/>
      <w:lvlText w:val=""/>
      <w:lvlJc w:val="left"/>
    </w:lvl>
    <w:lvl w:ilvl="8" w:tplc="F96C29AA">
      <w:numFmt w:val="decimal"/>
      <w:lvlText w:val=""/>
      <w:lvlJc w:val="left"/>
    </w:lvl>
  </w:abstractNum>
  <w:abstractNum w:abstractNumId="1">
    <w:nsid w:val="00004AE1"/>
    <w:multiLevelType w:val="hybridMultilevel"/>
    <w:tmpl w:val="B4F80F06"/>
    <w:lvl w:ilvl="0" w:tplc="DD5EED52">
      <w:start w:val="1"/>
      <w:numFmt w:val="bullet"/>
      <w:lvlText w:val="\endash "/>
      <w:lvlJc w:val="left"/>
    </w:lvl>
    <w:lvl w:ilvl="1" w:tplc="FD428FE0">
      <w:numFmt w:val="decimal"/>
      <w:lvlText w:val=""/>
      <w:lvlJc w:val="left"/>
    </w:lvl>
    <w:lvl w:ilvl="2" w:tplc="0DA27788">
      <w:numFmt w:val="decimal"/>
      <w:lvlText w:val=""/>
      <w:lvlJc w:val="left"/>
    </w:lvl>
    <w:lvl w:ilvl="3" w:tplc="2A3A6376">
      <w:numFmt w:val="decimal"/>
      <w:lvlText w:val=""/>
      <w:lvlJc w:val="left"/>
    </w:lvl>
    <w:lvl w:ilvl="4" w:tplc="2E864BF0">
      <w:numFmt w:val="decimal"/>
      <w:lvlText w:val=""/>
      <w:lvlJc w:val="left"/>
    </w:lvl>
    <w:lvl w:ilvl="5" w:tplc="8594E26E">
      <w:numFmt w:val="decimal"/>
      <w:lvlText w:val=""/>
      <w:lvlJc w:val="left"/>
    </w:lvl>
    <w:lvl w:ilvl="6" w:tplc="2F1A687A">
      <w:numFmt w:val="decimal"/>
      <w:lvlText w:val=""/>
      <w:lvlJc w:val="left"/>
    </w:lvl>
    <w:lvl w:ilvl="7" w:tplc="AF5012BA">
      <w:numFmt w:val="decimal"/>
      <w:lvlText w:val=""/>
      <w:lvlJc w:val="left"/>
    </w:lvl>
    <w:lvl w:ilvl="8" w:tplc="B6DEEC20">
      <w:numFmt w:val="decimal"/>
      <w:lvlText w:val=""/>
      <w:lvlJc w:val="left"/>
    </w:lvl>
  </w:abstractNum>
  <w:abstractNum w:abstractNumId="2">
    <w:nsid w:val="00006784"/>
    <w:multiLevelType w:val="hybridMultilevel"/>
    <w:tmpl w:val="8EA0F43E"/>
    <w:lvl w:ilvl="0" w:tplc="9404F308">
      <w:start w:val="1"/>
      <w:numFmt w:val="bullet"/>
      <w:lvlText w:val="\endash "/>
      <w:lvlJc w:val="left"/>
    </w:lvl>
    <w:lvl w:ilvl="1" w:tplc="044E7394">
      <w:numFmt w:val="decimal"/>
      <w:lvlText w:val=""/>
      <w:lvlJc w:val="left"/>
    </w:lvl>
    <w:lvl w:ilvl="2" w:tplc="85A6A622">
      <w:numFmt w:val="decimal"/>
      <w:lvlText w:val=""/>
      <w:lvlJc w:val="left"/>
    </w:lvl>
    <w:lvl w:ilvl="3" w:tplc="041A9A44">
      <w:numFmt w:val="decimal"/>
      <w:lvlText w:val=""/>
      <w:lvlJc w:val="left"/>
    </w:lvl>
    <w:lvl w:ilvl="4" w:tplc="D2EAFE72">
      <w:numFmt w:val="decimal"/>
      <w:lvlText w:val=""/>
      <w:lvlJc w:val="left"/>
    </w:lvl>
    <w:lvl w:ilvl="5" w:tplc="12E2BCC0">
      <w:numFmt w:val="decimal"/>
      <w:lvlText w:val=""/>
      <w:lvlJc w:val="left"/>
    </w:lvl>
    <w:lvl w:ilvl="6" w:tplc="84D2F6BE">
      <w:numFmt w:val="decimal"/>
      <w:lvlText w:val=""/>
      <w:lvlJc w:val="left"/>
    </w:lvl>
    <w:lvl w:ilvl="7" w:tplc="67189B0E">
      <w:numFmt w:val="decimal"/>
      <w:lvlText w:val=""/>
      <w:lvlJc w:val="left"/>
    </w:lvl>
    <w:lvl w:ilvl="8" w:tplc="D6D433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A"/>
    <w:rsid w:val="00846BF4"/>
    <w:rsid w:val="009A3C48"/>
    <w:rsid w:val="00D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5555</cp:lastModifiedBy>
  <cp:revision>3</cp:revision>
  <dcterms:created xsi:type="dcterms:W3CDTF">2018-01-26T13:41:00Z</dcterms:created>
  <dcterms:modified xsi:type="dcterms:W3CDTF">2018-01-26T12:51:00Z</dcterms:modified>
</cp:coreProperties>
</file>